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CC34" w14:textId="1F6DD635" w:rsidR="006E7F48" w:rsidRPr="00C821B1" w:rsidRDefault="0045380A" w:rsidP="008727FE">
      <w:pPr>
        <w:ind w:left="20" w:right="4"/>
        <w:jc w:val="center"/>
      </w:pPr>
      <w:r w:rsidRPr="004E3668">
        <w:rPr>
          <w:rFonts w:ascii="Verdana" w:hAnsi="Verdana"/>
          <w:b/>
          <w:sz w:val="20"/>
          <w:u w:val="single"/>
        </w:rPr>
        <w:t xml:space="preserve">Caso </w:t>
      </w:r>
      <w:r w:rsidR="00F70D64">
        <w:rPr>
          <w:rFonts w:ascii="Verdana" w:hAnsi="Verdana"/>
          <w:b/>
          <w:sz w:val="20"/>
          <w:u w:val="single"/>
        </w:rPr>
        <w:t>Terrones Silva</w:t>
      </w:r>
      <w:r w:rsidR="00213AB8">
        <w:rPr>
          <w:rFonts w:ascii="Verdana" w:hAnsi="Verdana"/>
          <w:b/>
          <w:sz w:val="20"/>
          <w:u w:val="single"/>
        </w:rPr>
        <w:t xml:space="preserve"> y otros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w:t>
      </w:r>
      <w:r w:rsidR="00213AB8">
        <w:rPr>
          <w:rFonts w:ascii="Verdana" w:hAnsi="Verdana"/>
          <w:b/>
          <w:sz w:val="20"/>
          <w:u w:val="single"/>
        </w:rPr>
        <w:t>Perú</w:t>
      </w:r>
      <w:r w:rsidRPr="004E3668">
        <w:rPr>
          <w:rFonts w:ascii="Verdana" w:hAnsi="Verdana"/>
          <w:b/>
          <w:sz w:val="20"/>
          <w:u w:val="single"/>
        </w:rPr>
        <w:t xml:space="preserve">: </w:t>
      </w:r>
      <w:r w:rsidR="00284850">
        <w:rPr>
          <w:rFonts w:ascii="Verdana" w:hAnsi="Verdana"/>
          <w:b/>
          <w:sz w:val="20"/>
          <w:u w:val="single"/>
        </w:rPr>
        <w:t xml:space="preserve">reparaciones </w:t>
      </w:r>
      <w:r w:rsidR="008727FE">
        <w:rPr>
          <w:rFonts w:ascii="Verdana" w:hAnsi="Verdana"/>
          <w:b/>
          <w:sz w:val="20"/>
          <w:u w:val="single"/>
        </w:rPr>
        <w:t xml:space="preserve">pendientes de </w:t>
      </w:r>
      <w:r w:rsidR="008727FE" w:rsidRPr="00C821B1">
        <w:rPr>
          <w:rFonts w:ascii="Verdana" w:hAnsi="Verdana"/>
          <w:b/>
          <w:sz w:val="20"/>
          <w:u w:val="single"/>
        </w:rPr>
        <w:t>cumplimiento</w:t>
      </w:r>
    </w:p>
    <w:p w14:paraId="7BEFE810" w14:textId="77777777" w:rsidR="0045380A" w:rsidRPr="00213AB8" w:rsidRDefault="0045380A"/>
    <w:p w14:paraId="3DA6B3B6" w14:textId="77777777" w:rsidR="00C821B1" w:rsidRPr="00213AB8" w:rsidRDefault="00C821B1" w:rsidP="00C821B1">
      <w:pPr>
        <w:tabs>
          <w:tab w:val="left" w:pos="0"/>
          <w:tab w:val="left" w:pos="567"/>
        </w:tabs>
        <w:spacing w:line="276" w:lineRule="auto"/>
        <w:ind w:right="-144"/>
        <w:jc w:val="both"/>
        <w:rPr>
          <w:rFonts w:ascii="Verdana" w:hAnsi="Verdana" w:cstheme="minorBidi"/>
          <w:sz w:val="20"/>
          <w:szCs w:val="20"/>
        </w:rPr>
      </w:pPr>
    </w:p>
    <w:p w14:paraId="3B2C50EB"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continuar con las investigaciones que sean necesarias para identificar, juzgar y, en su caso, sancionar a los responsables de las desapariciones forzadas de Wilfredo Terrones Silva, Teresa Díaz Aparicio, Néstor Rojas Medina y </w:t>
      </w:r>
      <w:proofErr w:type="spellStart"/>
      <w:r w:rsidRPr="00F70D64">
        <w:rPr>
          <w:rFonts w:ascii="Verdana" w:hAnsi="Verdana"/>
          <w:sz w:val="20"/>
          <w:szCs w:val="20"/>
          <w:lang w:val="es-MX"/>
        </w:rPr>
        <w:t>Cory</w:t>
      </w:r>
      <w:proofErr w:type="spellEnd"/>
      <w:r w:rsidRPr="00F70D64">
        <w:rPr>
          <w:rFonts w:ascii="Verdana" w:hAnsi="Verdana"/>
          <w:sz w:val="20"/>
          <w:szCs w:val="20"/>
          <w:lang w:val="es-MX"/>
        </w:rPr>
        <w:t xml:space="preserve"> </w:t>
      </w:r>
      <w:proofErr w:type="spellStart"/>
      <w:r w:rsidRPr="00F70D64">
        <w:rPr>
          <w:rFonts w:ascii="Verdana" w:hAnsi="Verdana"/>
          <w:sz w:val="20"/>
          <w:szCs w:val="20"/>
          <w:lang w:val="es-MX"/>
        </w:rPr>
        <w:t>Clodolia</w:t>
      </w:r>
      <w:proofErr w:type="spellEnd"/>
      <w:r w:rsidRPr="00F70D64">
        <w:rPr>
          <w:rFonts w:ascii="Verdana" w:hAnsi="Verdana"/>
          <w:sz w:val="20"/>
          <w:szCs w:val="20"/>
          <w:lang w:val="es-MX"/>
        </w:rPr>
        <w:t xml:space="preserve"> </w:t>
      </w:r>
      <w:proofErr w:type="spellStart"/>
      <w:r w:rsidRPr="00F70D64">
        <w:rPr>
          <w:rFonts w:ascii="Verdana" w:hAnsi="Verdana"/>
          <w:sz w:val="20"/>
          <w:szCs w:val="20"/>
          <w:lang w:val="es-MX"/>
        </w:rPr>
        <w:t>Tenicela</w:t>
      </w:r>
      <w:proofErr w:type="spellEnd"/>
      <w:r w:rsidRPr="00F70D64">
        <w:rPr>
          <w:rFonts w:ascii="Verdana" w:hAnsi="Verdana"/>
          <w:sz w:val="20"/>
          <w:szCs w:val="20"/>
          <w:lang w:val="es-MX"/>
        </w:rPr>
        <w:t xml:space="preserve"> Tello. Dicha obligación debe ser cumplida de acuerdo a los estándares establecidos por la jurisprudencia de esta Corte y en un plazo razonable, de conformidad a lo establecido en los párrafos 243, 244 y 246 de la presente Sentencia. Además, el Estado debe realizar todas las diligencias necesarias con el fin de identificar, juzgar y, en su caso, sancionar a los responsables de la desaparición forzada, así como de la tortura que sufrió Santiago </w:t>
      </w:r>
      <w:proofErr w:type="spellStart"/>
      <w:r w:rsidRPr="00F70D64">
        <w:rPr>
          <w:rFonts w:ascii="Verdana" w:hAnsi="Verdana"/>
          <w:sz w:val="20"/>
          <w:szCs w:val="20"/>
          <w:lang w:val="es-MX"/>
        </w:rPr>
        <w:t>Antezana</w:t>
      </w:r>
      <w:proofErr w:type="spellEnd"/>
      <w:r w:rsidRPr="00F70D64">
        <w:rPr>
          <w:rFonts w:ascii="Verdana" w:hAnsi="Verdana"/>
          <w:sz w:val="20"/>
          <w:szCs w:val="20"/>
          <w:lang w:val="es-MX"/>
        </w:rPr>
        <w:t xml:space="preserve"> Cueto, en los términos del párrafo 245 y 246 de la presente Sentencia. </w:t>
      </w:r>
    </w:p>
    <w:p w14:paraId="19C2E8FB" w14:textId="77777777" w:rsidR="00F70D64" w:rsidRPr="00F70D64" w:rsidRDefault="00F70D64" w:rsidP="00F70D64">
      <w:pPr>
        <w:pStyle w:val="Prrafodelista"/>
        <w:ind w:left="360"/>
        <w:jc w:val="both"/>
        <w:rPr>
          <w:rFonts w:ascii="Verdana" w:hAnsi="Verdana"/>
          <w:sz w:val="20"/>
          <w:szCs w:val="20"/>
          <w:lang w:val="es-MX"/>
        </w:rPr>
      </w:pPr>
    </w:p>
    <w:p w14:paraId="1FB907D0"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adoptar las medidas necesarias para dar cumplimiento a la sentencia dictada por la Sala Penal Nacional el 12 de diciembre de 2013 con respecto a Santiago </w:t>
      </w:r>
      <w:proofErr w:type="spellStart"/>
      <w:r w:rsidRPr="00F70D64">
        <w:rPr>
          <w:rFonts w:ascii="Verdana" w:hAnsi="Verdana"/>
          <w:sz w:val="20"/>
          <w:szCs w:val="20"/>
          <w:lang w:val="es-MX"/>
        </w:rPr>
        <w:t>Antezana</w:t>
      </w:r>
      <w:proofErr w:type="spellEnd"/>
      <w:r w:rsidRPr="00F70D64">
        <w:rPr>
          <w:rFonts w:ascii="Verdana" w:hAnsi="Verdana"/>
          <w:sz w:val="20"/>
          <w:szCs w:val="20"/>
          <w:lang w:val="es-MX"/>
        </w:rPr>
        <w:t xml:space="preserve"> Cueto, de conformidad con lo establecido en el párrafo 245 de la presente Sentencia. </w:t>
      </w:r>
    </w:p>
    <w:p w14:paraId="066BD36A" w14:textId="77777777" w:rsidR="00F70D64" w:rsidRPr="00F70D64" w:rsidRDefault="00F70D64" w:rsidP="00F70D64">
      <w:pPr>
        <w:pStyle w:val="Prrafodelista"/>
        <w:rPr>
          <w:rFonts w:ascii="Verdana" w:hAnsi="Verdana"/>
          <w:sz w:val="20"/>
          <w:szCs w:val="20"/>
          <w:lang w:val="es-MX"/>
        </w:rPr>
      </w:pPr>
    </w:p>
    <w:p w14:paraId="57D17D35"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en un plazo razonable, extremar los esfuerzos de búsqueda exhaustiva por la vía judicial y/o administrativa adecuada, para determinar el paradero de Santiago </w:t>
      </w:r>
      <w:proofErr w:type="spellStart"/>
      <w:r w:rsidRPr="00F70D64">
        <w:rPr>
          <w:rFonts w:ascii="Verdana" w:hAnsi="Verdana"/>
          <w:sz w:val="20"/>
          <w:szCs w:val="20"/>
          <w:lang w:val="es-MX"/>
        </w:rPr>
        <w:t>Antezana</w:t>
      </w:r>
      <w:proofErr w:type="spellEnd"/>
      <w:r w:rsidRPr="00F70D64">
        <w:rPr>
          <w:rFonts w:ascii="Verdana" w:hAnsi="Verdana"/>
          <w:sz w:val="20"/>
          <w:szCs w:val="20"/>
          <w:lang w:val="es-MX"/>
        </w:rPr>
        <w:t xml:space="preserve"> Cueto, Wilfredo Terrones Silva, Teresa Díaz Aparicio, Néstor Rojas Medina y </w:t>
      </w:r>
      <w:proofErr w:type="spellStart"/>
      <w:r w:rsidRPr="00F70D64">
        <w:rPr>
          <w:rFonts w:ascii="Verdana" w:hAnsi="Verdana"/>
          <w:sz w:val="20"/>
          <w:szCs w:val="20"/>
          <w:lang w:val="es-MX"/>
        </w:rPr>
        <w:t>Cory</w:t>
      </w:r>
      <w:proofErr w:type="spellEnd"/>
      <w:r w:rsidRPr="00F70D64">
        <w:rPr>
          <w:rFonts w:ascii="Verdana" w:hAnsi="Verdana"/>
          <w:sz w:val="20"/>
          <w:szCs w:val="20"/>
          <w:lang w:val="es-MX"/>
        </w:rPr>
        <w:t xml:space="preserve"> </w:t>
      </w:r>
      <w:proofErr w:type="spellStart"/>
      <w:r w:rsidRPr="00F70D64">
        <w:rPr>
          <w:rFonts w:ascii="Verdana" w:hAnsi="Verdana"/>
          <w:sz w:val="20"/>
          <w:szCs w:val="20"/>
          <w:lang w:val="es-MX"/>
        </w:rPr>
        <w:t>Clodolia</w:t>
      </w:r>
      <w:proofErr w:type="spellEnd"/>
      <w:r w:rsidRPr="00F70D64">
        <w:rPr>
          <w:rFonts w:ascii="Verdana" w:hAnsi="Verdana"/>
          <w:sz w:val="20"/>
          <w:szCs w:val="20"/>
          <w:lang w:val="es-MX"/>
        </w:rPr>
        <w:t xml:space="preserve"> </w:t>
      </w:r>
      <w:proofErr w:type="spellStart"/>
      <w:r w:rsidRPr="00F70D64">
        <w:rPr>
          <w:rFonts w:ascii="Verdana" w:hAnsi="Verdana"/>
          <w:sz w:val="20"/>
          <w:szCs w:val="20"/>
          <w:lang w:val="es-MX"/>
        </w:rPr>
        <w:t>Tenicela</w:t>
      </w:r>
      <w:proofErr w:type="spellEnd"/>
      <w:r w:rsidRPr="00F70D64">
        <w:rPr>
          <w:rFonts w:ascii="Verdana" w:hAnsi="Verdana"/>
          <w:sz w:val="20"/>
          <w:szCs w:val="20"/>
          <w:lang w:val="es-MX"/>
        </w:rPr>
        <w:t xml:space="preserve"> Tello, de conformidad con lo establecido en los párrafos 247 y 248 de la presente Sentencia. </w:t>
      </w:r>
    </w:p>
    <w:p w14:paraId="464C8606" w14:textId="77777777" w:rsidR="00F70D64" w:rsidRPr="00F70D64" w:rsidRDefault="00F70D64" w:rsidP="00F70D64">
      <w:pPr>
        <w:pStyle w:val="Prrafodelista"/>
        <w:rPr>
          <w:rFonts w:ascii="Verdana" w:hAnsi="Verdana"/>
          <w:sz w:val="20"/>
          <w:szCs w:val="20"/>
          <w:lang w:val="es-MX"/>
        </w:rPr>
      </w:pPr>
    </w:p>
    <w:p w14:paraId="666045E2"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brindar, de forma inmediata, tratamiento psicológico adecuado y prioritario que requieran Guillermina Frida Landázuri Gómez, </w:t>
      </w:r>
      <w:proofErr w:type="spellStart"/>
      <w:r w:rsidRPr="00F70D64">
        <w:rPr>
          <w:rFonts w:ascii="Verdana" w:hAnsi="Verdana"/>
          <w:sz w:val="20"/>
          <w:szCs w:val="20"/>
          <w:lang w:val="es-MX"/>
        </w:rPr>
        <w:t>Amadea</w:t>
      </w:r>
      <w:proofErr w:type="spellEnd"/>
      <w:r w:rsidRPr="00F70D64">
        <w:rPr>
          <w:rFonts w:ascii="Verdana" w:hAnsi="Verdana"/>
          <w:sz w:val="20"/>
          <w:szCs w:val="20"/>
          <w:lang w:val="es-MX"/>
        </w:rPr>
        <w:t xml:space="preserve"> Felipa Tello de </w:t>
      </w:r>
      <w:proofErr w:type="spellStart"/>
      <w:r w:rsidRPr="00F70D64">
        <w:rPr>
          <w:rFonts w:ascii="Verdana" w:hAnsi="Verdana"/>
          <w:sz w:val="20"/>
          <w:szCs w:val="20"/>
          <w:lang w:val="es-MX"/>
        </w:rPr>
        <w:t>Tenicela</w:t>
      </w:r>
      <w:proofErr w:type="spellEnd"/>
      <w:r w:rsidRPr="00F70D64">
        <w:rPr>
          <w:rFonts w:ascii="Verdana" w:hAnsi="Verdana"/>
          <w:sz w:val="20"/>
          <w:szCs w:val="20"/>
          <w:lang w:val="es-MX"/>
        </w:rPr>
        <w:t xml:space="preserve">, Norma Juana </w:t>
      </w:r>
      <w:proofErr w:type="spellStart"/>
      <w:r w:rsidRPr="00F70D64">
        <w:rPr>
          <w:rFonts w:ascii="Verdana" w:hAnsi="Verdana"/>
          <w:sz w:val="20"/>
          <w:szCs w:val="20"/>
          <w:lang w:val="es-MX"/>
        </w:rPr>
        <w:t>Tenicela</w:t>
      </w:r>
      <w:proofErr w:type="spellEnd"/>
      <w:r w:rsidRPr="00F70D64">
        <w:rPr>
          <w:rFonts w:ascii="Verdana" w:hAnsi="Verdana"/>
          <w:sz w:val="20"/>
          <w:szCs w:val="20"/>
          <w:lang w:val="es-MX"/>
        </w:rPr>
        <w:t xml:space="preserve"> Tello, </w:t>
      </w:r>
      <w:proofErr w:type="spellStart"/>
      <w:r w:rsidRPr="00F70D64">
        <w:rPr>
          <w:rFonts w:ascii="Verdana" w:hAnsi="Verdana"/>
          <w:sz w:val="20"/>
          <w:szCs w:val="20"/>
          <w:lang w:val="es-MX"/>
        </w:rPr>
        <w:t>Zenobio</w:t>
      </w:r>
      <w:proofErr w:type="spellEnd"/>
      <w:r w:rsidRPr="00F70D64">
        <w:rPr>
          <w:rFonts w:ascii="Verdana" w:hAnsi="Verdana"/>
          <w:sz w:val="20"/>
          <w:szCs w:val="20"/>
          <w:lang w:val="es-MX"/>
        </w:rPr>
        <w:t xml:space="preserve"> Washington </w:t>
      </w:r>
      <w:proofErr w:type="spellStart"/>
      <w:r w:rsidRPr="00F70D64">
        <w:rPr>
          <w:rFonts w:ascii="Verdana" w:hAnsi="Verdana"/>
          <w:sz w:val="20"/>
          <w:szCs w:val="20"/>
          <w:lang w:val="es-MX"/>
        </w:rPr>
        <w:t>Tenicela</w:t>
      </w:r>
      <w:proofErr w:type="spellEnd"/>
      <w:r w:rsidRPr="00F70D64">
        <w:rPr>
          <w:rFonts w:ascii="Verdana" w:hAnsi="Verdana"/>
          <w:sz w:val="20"/>
          <w:szCs w:val="20"/>
          <w:lang w:val="es-MX"/>
        </w:rPr>
        <w:t xml:space="preserve"> Tello, Marcelina Medina Negrón, Tania </w:t>
      </w:r>
      <w:proofErr w:type="spellStart"/>
      <w:r w:rsidRPr="00F70D64">
        <w:rPr>
          <w:rFonts w:ascii="Verdana" w:hAnsi="Verdana"/>
          <w:sz w:val="20"/>
          <w:szCs w:val="20"/>
          <w:lang w:val="es-MX"/>
        </w:rPr>
        <w:t>Collantes</w:t>
      </w:r>
      <w:proofErr w:type="spellEnd"/>
      <w:r w:rsidRPr="00F70D64">
        <w:rPr>
          <w:rFonts w:ascii="Verdana" w:hAnsi="Verdana"/>
          <w:sz w:val="20"/>
          <w:szCs w:val="20"/>
          <w:lang w:val="es-MX"/>
        </w:rPr>
        <w:t xml:space="preserve"> Medina, Rosa </w:t>
      </w:r>
      <w:proofErr w:type="spellStart"/>
      <w:r w:rsidRPr="00F70D64">
        <w:rPr>
          <w:rFonts w:ascii="Verdana" w:hAnsi="Verdana"/>
          <w:sz w:val="20"/>
          <w:szCs w:val="20"/>
          <w:lang w:val="es-MX"/>
        </w:rPr>
        <w:t>Carcausto</w:t>
      </w:r>
      <w:proofErr w:type="spellEnd"/>
      <w:r w:rsidRPr="00F70D64">
        <w:rPr>
          <w:rFonts w:ascii="Verdana" w:hAnsi="Verdana"/>
          <w:sz w:val="20"/>
          <w:szCs w:val="20"/>
          <w:lang w:val="es-MX"/>
        </w:rPr>
        <w:t xml:space="preserve"> Paco, </w:t>
      </w:r>
      <w:proofErr w:type="spellStart"/>
      <w:r w:rsidRPr="00F70D64">
        <w:rPr>
          <w:rFonts w:ascii="Verdana" w:hAnsi="Verdana"/>
          <w:sz w:val="20"/>
          <w:szCs w:val="20"/>
          <w:lang w:val="es-MX"/>
        </w:rPr>
        <w:t>Ermilio</w:t>
      </w:r>
      <w:proofErr w:type="spellEnd"/>
      <w:r w:rsidRPr="00F70D64">
        <w:rPr>
          <w:rFonts w:ascii="Verdana" w:hAnsi="Verdana"/>
          <w:sz w:val="20"/>
          <w:szCs w:val="20"/>
          <w:lang w:val="es-MX"/>
        </w:rPr>
        <w:t xml:space="preserve"> </w:t>
      </w:r>
      <w:proofErr w:type="spellStart"/>
      <w:r w:rsidRPr="00F70D64">
        <w:rPr>
          <w:rFonts w:ascii="Verdana" w:hAnsi="Verdana"/>
          <w:sz w:val="20"/>
          <w:szCs w:val="20"/>
          <w:lang w:val="es-MX"/>
        </w:rPr>
        <w:t>Antezana</w:t>
      </w:r>
      <w:proofErr w:type="spellEnd"/>
      <w:r w:rsidRPr="00F70D64">
        <w:rPr>
          <w:rFonts w:ascii="Verdana" w:hAnsi="Verdana"/>
          <w:sz w:val="20"/>
          <w:szCs w:val="20"/>
          <w:lang w:val="es-MX"/>
        </w:rPr>
        <w:t xml:space="preserve"> Cueto, y Ofelia </w:t>
      </w:r>
      <w:proofErr w:type="spellStart"/>
      <w:r w:rsidRPr="00F70D64">
        <w:rPr>
          <w:rFonts w:ascii="Verdana" w:hAnsi="Verdana"/>
          <w:sz w:val="20"/>
          <w:szCs w:val="20"/>
          <w:lang w:val="es-MX"/>
        </w:rPr>
        <w:t>Antezana</w:t>
      </w:r>
      <w:proofErr w:type="spellEnd"/>
      <w:r w:rsidRPr="00F70D64">
        <w:rPr>
          <w:rFonts w:ascii="Verdana" w:hAnsi="Verdana"/>
          <w:sz w:val="20"/>
          <w:szCs w:val="20"/>
          <w:lang w:val="es-MX"/>
        </w:rPr>
        <w:t xml:space="preserve"> Torre, en los términos del párrafo 252 de la presente Sentencia. </w:t>
      </w:r>
    </w:p>
    <w:p w14:paraId="4A7F7F91" w14:textId="77777777" w:rsidR="00F70D64" w:rsidRPr="00F70D64" w:rsidRDefault="00F70D64" w:rsidP="00F70D64">
      <w:pPr>
        <w:pStyle w:val="Prrafodelista"/>
        <w:rPr>
          <w:rFonts w:ascii="Verdana" w:hAnsi="Verdana"/>
          <w:sz w:val="20"/>
          <w:szCs w:val="20"/>
          <w:lang w:val="es-MX"/>
        </w:rPr>
      </w:pPr>
    </w:p>
    <w:p w14:paraId="60568479"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realizar las publicaciones indicadas en el párrafo 254 de la presente Sentencia. </w:t>
      </w:r>
    </w:p>
    <w:p w14:paraId="13E8D065" w14:textId="77777777" w:rsidR="00F70D64" w:rsidRPr="00F70D64" w:rsidRDefault="00F70D64" w:rsidP="00F70D64">
      <w:pPr>
        <w:pStyle w:val="Prrafodelista"/>
        <w:rPr>
          <w:rFonts w:ascii="Verdana" w:hAnsi="Verdana"/>
          <w:sz w:val="20"/>
          <w:szCs w:val="20"/>
          <w:lang w:val="es-MX"/>
        </w:rPr>
      </w:pPr>
    </w:p>
    <w:p w14:paraId="13082F10"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realizar un acto público de reconocimiento de responsabilidad internacional con relación a la desaparición forzada de las víctimas, en los términos del párrafo 255 de la presente Sentencia. </w:t>
      </w:r>
    </w:p>
    <w:p w14:paraId="6433E75E" w14:textId="77777777" w:rsidR="00F70D64" w:rsidRPr="00F70D64" w:rsidRDefault="00F70D64" w:rsidP="00F70D64">
      <w:pPr>
        <w:pStyle w:val="Prrafodelista"/>
        <w:rPr>
          <w:rFonts w:ascii="Verdana" w:hAnsi="Verdana"/>
          <w:sz w:val="20"/>
          <w:szCs w:val="20"/>
          <w:lang w:val="es-MX"/>
        </w:rPr>
      </w:pPr>
    </w:p>
    <w:p w14:paraId="156E6110" w14:textId="77777777"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colocar una placa en homenaje a Teresa Díaz Aparicio y el reconocimiento de que fue desaparecida forzosamente por agentes estatales, en los términos del párrafo 256. </w:t>
      </w:r>
    </w:p>
    <w:p w14:paraId="436DF50A" w14:textId="77777777" w:rsidR="00F70D64" w:rsidRPr="00F70D64" w:rsidRDefault="00F70D64" w:rsidP="00F70D64">
      <w:pPr>
        <w:pStyle w:val="Prrafodelista"/>
        <w:rPr>
          <w:rFonts w:ascii="Verdana" w:hAnsi="Verdana"/>
          <w:sz w:val="20"/>
          <w:szCs w:val="20"/>
          <w:lang w:val="es-MX"/>
        </w:rPr>
      </w:pPr>
    </w:p>
    <w:p w14:paraId="77DC4775" w14:textId="4B0F901A" w:rsidR="00E90CE0" w:rsidRPr="004A1A3C" w:rsidRDefault="00F70D64" w:rsidP="004A1A3C">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pagar las cantidades fijadas en los párrafos 270 a 277 de la presente Sentencia, por concepto de indemnizaciones por daños materiales e inmateriales y por el reintegro de costas y gastos, en los términos del párrafo 284. </w:t>
      </w:r>
      <w:bookmarkStart w:id="0" w:name="_GoBack"/>
      <w:bookmarkEnd w:id="0"/>
    </w:p>
    <w:p w14:paraId="7766FF2B" w14:textId="77777777" w:rsidR="00C821B1" w:rsidRPr="00E90CE0" w:rsidRDefault="00C821B1" w:rsidP="00213AB8">
      <w:pPr>
        <w:tabs>
          <w:tab w:val="left" w:pos="0"/>
          <w:tab w:val="left" w:pos="567"/>
        </w:tabs>
        <w:spacing w:line="276" w:lineRule="auto"/>
        <w:ind w:right="-144"/>
        <w:jc w:val="both"/>
        <w:rPr>
          <w:rFonts w:ascii="Verdana" w:hAnsi="Verdana" w:cs="Verdana"/>
          <w:sz w:val="20"/>
          <w:szCs w:val="20"/>
          <w:lang w:val="es-MX"/>
        </w:rPr>
      </w:pPr>
    </w:p>
    <w:sectPr w:rsidR="00C821B1" w:rsidRPr="00E90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19F1" w14:textId="77777777" w:rsidR="003F3B6F" w:rsidRDefault="003F3B6F" w:rsidP="0045380A">
      <w:r>
        <w:separator/>
      </w:r>
    </w:p>
  </w:endnote>
  <w:endnote w:type="continuationSeparator" w:id="0">
    <w:p w14:paraId="4D9A42E3" w14:textId="77777777" w:rsidR="003F3B6F" w:rsidRDefault="003F3B6F"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568F"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BAF61D2"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D71E" w14:textId="77777777" w:rsidR="003F3B6F" w:rsidRDefault="003F3B6F" w:rsidP="0045380A">
      <w:r>
        <w:separator/>
      </w:r>
    </w:p>
  </w:footnote>
  <w:footnote w:type="continuationSeparator" w:id="0">
    <w:p w14:paraId="7F7F7317" w14:textId="77777777" w:rsidR="003F3B6F" w:rsidRDefault="003F3B6F"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sz w:val="20"/>
        <w:szCs w:val="20"/>
      </w:rPr>
    </w:sdtEndPr>
    <w:sdtContent>
      <w:p w14:paraId="79A7B704" w14:textId="36AE5566"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4A1A3C">
          <w:rPr>
            <w:rFonts w:ascii="Verdana" w:hAnsi="Verdana"/>
            <w:noProof/>
            <w:sz w:val="20"/>
            <w:szCs w:val="20"/>
          </w:rPr>
          <w:t>1</w:t>
        </w:r>
        <w:r w:rsidRPr="00675FE7">
          <w:rPr>
            <w:rFonts w:ascii="Verdana" w:hAnsi="Verdana"/>
            <w:noProof/>
            <w:sz w:val="20"/>
            <w:szCs w:val="20"/>
          </w:rPr>
          <w:fldChar w:fldCharType="end"/>
        </w:r>
      </w:p>
    </w:sdtContent>
  </w:sdt>
  <w:p w14:paraId="3225109C"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D2B3F22"/>
    <w:multiLevelType w:val="hybridMultilevel"/>
    <w:tmpl w:val="59DA6642"/>
    <w:lvl w:ilvl="0" w:tplc="AC9C860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9042B93"/>
    <w:multiLevelType w:val="hybridMultilevel"/>
    <w:tmpl w:val="E27C382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69343203"/>
    <w:multiLevelType w:val="hybridMultilevel"/>
    <w:tmpl w:val="B868E3F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A"/>
    <w:rsid w:val="00213AB8"/>
    <w:rsid w:val="00284850"/>
    <w:rsid w:val="003A7E5E"/>
    <w:rsid w:val="003F3B6F"/>
    <w:rsid w:val="0045380A"/>
    <w:rsid w:val="004A1A3C"/>
    <w:rsid w:val="005E5811"/>
    <w:rsid w:val="00682C62"/>
    <w:rsid w:val="006E535D"/>
    <w:rsid w:val="006F3728"/>
    <w:rsid w:val="008017CD"/>
    <w:rsid w:val="008727FE"/>
    <w:rsid w:val="008A15F9"/>
    <w:rsid w:val="009832C0"/>
    <w:rsid w:val="00B43FAE"/>
    <w:rsid w:val="00B716CD"/>
    <w:rsid w:val="00C821B1"/>
    <w:rsid w:val="00E53DD2"/>
    <w:rsid w:val="00E90CE0"/>
    <w:rsid w:val="00F7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D16D"/>
  <w15:docId w15:val="{000B6ACF-0892-48E9-B6F9-9B63892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 w:type="character" w:customStyle="1" w:styleId="apple-style-span">
    <w:name w:val="apple-style-span"/>
    <w:qFormat/>
    <w:rsid w:val="00213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2248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Milagro Valverde</cp:lastModifiedBy>
  <cp:revision>7</cp:revision>
  <dcterms:created xsi:type="dcterms:W3CDTF">2019-06-26T22:32:00Z</dcterms:created>
  <dcterms:modified xsi:type="dcterms:W3CDTF">2021-04-09T08:26:00Z</dcterms:modified>
</cp:coreProperties>
</file>